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CN-0040 · Labour</w:t>
      </w:r>
    </w:p>
    <w:p>
      <w:pPr>
        <w:pStyle w:val="Title"/>
      </w:pPr>
      <w:r>
        <w:t xml:space="preserve">Workman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protected by the Industrial Disputes Act: the nature of duties test, and the exclusion of managerial and supervisory staff.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2(s)</w:t>
      </w:r>
    </w:p>
    <w:p>
      <w:pPr>
        <w:pStyle w:val="Bullet"/>
      </w:pPr>
      <w:r>
        <w:t xml:space="preserve">•  H.R. Adyanthaya v. Sandoz (India) Ltd., (1994) 5 SCC 737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https://firstprecedent.org/concepts/workman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