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CN-0536 · Civil Procedure</w:t>
      </w:r>
    </w:p>
    <w:p>
      <w:pPr>
        <w:pStyle w:val="Title"/>
      </w:pPr>
      <w:r>
        <w:t xml:space="preserve">Withdrawal of Suit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plaintiff’s right to abandon a suit, and the leave needed to keep the freedom to sue again.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XXIII, Rule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https://firstprecedent.org/concepts/withdrawal-of-suit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