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CN-0624 · Banking</w:t>
      </w:r>
    </w:p>
    <w:p>
      <w:pPr>
        <w:pStyle w:val="Title"/>
      </w:pPr>
      <w:r>
        <w:t xml:space="preserve">Withdrawal of an Insolvency Application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Withdrawal after admission with the approval of ninety per cent of the committee of creditors.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12A</w:t>
      </w:r>
    </w:p>
    <w:p>
      <w:pPr>
        <w:pStyle w:val="Bullet"/>
      </w:pPr>
      <w:r>
        <w:t xml:space="preserve">•  Swiss Ribbons (P) Ltd. v. Union of India, (2019) 4 SCC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https://firstprecedent.org/concepts/withdrawal-of-an-insolvency-application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