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CN-0244 · Property</w:t>
      </w:r>
    </w:p>
    <w:p>
      <w:pPr>
        <w:pStyle w:val="Title"/>
      </w:pPr>
      <w:r>
        <w:t xml:space="preserve">Will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declaration of what is to happen to a person’s property after death, how it is executed, and why it can be revoked until then.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Succession Act, 1925, §§ 2(h), 59, 63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https://firstprecedent.org/concepts/will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