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CN-0785 · Legal History</w:t>
      </w:r>
    </w:p>
    <w:p>
      <w:pPr>
        <w:pStyle w:val="Title"/>
      </w:pPr>
      <w:r>
        <w:t xml:space="preserve">Widow Remarriage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1856 statute that made the remarriage of Hindu widows valid, and what it did to their rights in the first husband’s estate.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Widows’ Remarriage Act, 1856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https://firstprecedent.org/concepts/widow-remarriage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