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CN-0053 · IP</w:t>
      </w:r>
    </w:p>
    <w:p>
      <w:pPr>
        <w:pStyle w:val="Title"/>
      </w:pPr>
      <w:r>
        <w:t xml:space="preserve">Well-Known Trade Mark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Marks protected across all classes of goods: the statutory factors, the register of well-known marks, and trans-border reputation.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2(1)(zg), 11(6)–(10)</w:t>
      </w:r>
    </w:p>
    <w:p>
      <w:pPr>
        <w:pStyle w:val="Bullet"/>
      </w:pPr>
      <w:r>
        <w:t xml:space="preserve">•  Toyota Jidosha Kabushiki Kaisha v. Prius Auto Industries Ltd., (2018) 2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https://firstprecedent.org/concepts/well-known-mark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