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CN-0151 · Criminal</w:t>
      </w:r>
    </w:p>
    <w:p>
      <w:pPr>
        <w:pStyle w:val="Title"/>
      </w:pPr>
      <w:r>
        <w:t xml:space="preserve">Victim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the criminal process recognises as a victim, and the victim’s rights to be heard, to appeal and to be compensated.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2(wa) (now Bharatiya Nagarik Suraksha Sanhita, 2023, § 2(1)(y))</w:t>
      </w:r>
    </w:p>
    <w:p>
      <w:pPr>
        <w:pStyle w:val="Bullet"/>
      </w:pPr>
      <w:r>
        <w:t xml:space="preserve">•  Mallikarjun Kodagali v. State of Karnataka, (2019) 2 SCC 752</w:t>
      </w:r>
    </w:p>
    <w:p>
      <w:pPr>
        <w:pStyle w:val="Bullet"/>
      </w:pPr>
      <w:r>
        <w:t xml:space="preserve">•  Jagjeet Singh v. Ashish Mishra, (2022) 9 SCC 321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https://firstprecedent.org/concepts/victim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