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CN-0456 · Constitutional</w:t>
      </w:r>
    </w:p>
    <w:p>
      <w:pPr>
        <w:pStyle w:val="Title"/>
      </w:pPr>
      <w:r>
        <w:t xml:space="preserve">Union Territory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Territories administered by the President, those with legislatures of their own, and the special position of Delhi.</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239–239AA</w:t>
      </w:r>
    </w:p>
    <w:p>
      <w:pPr>
        <w:pStyle w:val="Bullet"/>
      </w:pPr>
      <w:r>
        <w:t xml:space="preserve">•  State (NCT of Delhi) v. Union of India, (2018) 8 SCC 501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https://firstprecedent.org/concepts/union-territory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