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CN-0117 · Family</w:t>
      </w:r>
    </w:p>
    <w:p>
      <w:pPr>
        <w:pStyle w:val="Title"/>
      </w:pPr>
      <w:r>
        <w:t xml:space="preserve">Uniform Civil Code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directive to secure one civil code for all citizens, what courts have said about it, and the first State code enacted in 2024.</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44</w:t>
      </w:r>
    </w:p>
    <w:p>
      <w:pPr>
        <w:pStyle w:val="Bullet"/>
      </w:pPr>
      <w:r>
        <w:t xml:space="preserve">•  Sarla Mudgal v. Union of India, (1995) 3 SCC 635</w:t>
      </w:r>
    </w:p>
    <w:p>
      <w:pPr>
        <w:pStyle w:val="Bullet"/>
      </w:pPr>
      <w:r>
        <w:t xml:space="preserve">•  Uniform Civil Code, Uttarakhand, 2024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https://firstprecedent.org/concepts/uniform-civil-code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