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CN-0508 · Criminal</w:t>
      </w:r>
    </w:p>
    <w:p>
      <w:pPr>
        <w:pStyle w:val="Title"/>
      </w:pPr>
      <w:r>
        <w:t xml:space="preserve">Trial in Absentia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new power to try and sentence a proclaimed offender who has fled, and the safeguards attached to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Bharatiya Nagarik Suraksha Sanhita, 2023, § 356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https://firstprecedent.org/concepts/trial-in-absentia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