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CN-0612 · Corporate</w:t>
      </w:r>
    </w:p>
    <w:p>
      <w:pPr>
        <w:pStyle w:val="Title"/>
      </w:pPr>
      <w:r>
        <w:t xml:space="preserve">Transfer and Transmission of Shares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Transfer by act of the holder and transmission by operation of law, and a company’s power to refuse registration.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56, 58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https://firstprecedent.org/concepts/transfer-and-transmission-of-shares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