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CN-0730 · International (Public)</w:t>
      </w:r>
    </w:p>
    <w:p>
      <w:pPr>
        <w:pStyle w:val="Title"/>
      </w:pPr>
      <w:r>
        <w:t xml:space="preserve">Title to Territory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How a State acquires territory, and the weight given to continuous and peaceful display of authority.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Island of Palmas (Neth. v. U.S.), 2 R.I.A.A. 829 (1928)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https://firstprecedent.org/concepts/title-to-territory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