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CN-0133 · Criminal</w:t>
      </w:r>
    </w:p>
    <w:p>
      <w:pPr>
        <w:pStyle w:val="Title"/>
      </w:pPr>
      <w:r>
        <w:t xml:space="preserve">Theft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Dishonestly moving property out of another’s possession without consent, and why even a temporary taking is enough.</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378 (now Bharatiya Nyaya Sanhita, 2023, § 303)</w:t>
      </w:r>
    </w:p>
    <w:p>
      <w:pPr>
        <w:pStyle w:val="Bullet"/>
      </w:pPr>
      <w:r>
        <w:t xml:space="preserve">•  Pyare Lal Bhargava v. State of Rajasthan, AIR 1963 SC 1094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https://firstprecedent.org/concepts/theft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