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CN-0720 · Arbitration</w:t>
      </w:r>
    </w:p>
    <w:p>
      <w:pPr>
        <w:pStyle w:val="Title"/>
      </w:pPr>
      <w:r>
        <w:t xml:space="preserve">Termination of an Arbitrator’s Mandate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arbitrator’s authority ends for inability or delay, and the appointment of a substitute.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14, 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https://firstprecedent.org/concepts/termination-of-an-arbitrators-mandate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