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CN-0274 · Family</w:t>
      </w:r>
    </w:p>
    <w:p>
      <w:pPr>
        <w:pStyle w:val="Title"/>
      </w:pPr>
      <w:r>
        <w:t xml:space="preserve">Surrogacy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arrangement in which a woman bears a child for another, the ban on commercial surrogacy, and who may commission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Surrogacy (Regulation) Act, 2021</w:t>
      </w:r>
    </w:p>
    <w:p>
      <w:pPr>
        <w:pStyle w:val="Bullet"/>
      </w:pPr>
      <w:r>
        <w:t xml:space="preserve">•  Baby Manji Yamada v. Union of India, (2008) 13 SCC 518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https://firstprecedent.org/concepts/surrogacy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