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CN-0045 · Tax</w:t>
      </w:r>
    </w:p>
    <w:p>
      <w:pPr>
        <w:pStyle w:val="Title"/>
      </w:pPr>
      <w:r>
        <w:t xml:space="preserve">Supply</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The taxable event under GST: what counts as a supply, deemed supplies without consideration, and composite and mixed supplies.</w:t>
      </w:r>
    </w:p>
    <w:p>
      <w:pPr>
        <w:pStyle w:val="Guidance"/>
      </w:pPr>
      <w:r>
        <w:t xml:space="preserve">Authorities to start from. These are places to begin, listed by the editors. Read each one in the original and check the citation before you rely on it.</w:t>
      </w:r>
    </w:p>
    <w:p>
      <w:pPr>
        <w:pStyle w:val="Bullet"/>
      </w:pPr>
      <w:r>
        <w:t xml:space="preserve">•  Central Goods and Services Tax Act, 2017, § 7 and Schedules I–III</w:t>
      </w:r>
    </w:p>
    <w:p>
      <w:pPr>
        <w:pStyle w:val="Bullet"/>
      </w:pPr>
      <w:r>
        <w:t xml:space="preserve">•  India Const. art. 366(12A)</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https://firstprecedent.org/concepts/supply</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