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CN-0445 · Constitutional</w:t>
      </w:r>
    </w:p>
    <w:p>
      <w:pPr>
        <w:pStyle w:val="Title"/>
      </w:pPr>
      <w:r>
        <w:t xml:space="preserve">Supervisory Jurisdiction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High Court’s power of superintendence over courts and tribunals, how it differs from the writ power, and when it is used.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227</w:t>
      </w:r>
    </w:p>
    <w:p>
      <w:pPr>
        <w:pStyle w:val="Bullet"/>
      </w:pPr>
      <w:r>
        <w:t xml:space="preserve">•  Waryam Singh v. Amarnath, AIR 1954 SC 215</w:t>
      </w:r>
    </w:p>
    <w:p>
      <w:pPr>
        <w:pStyle w:val="Bullet"/>
      </w:pPr>
      <w:r>
        <w:t xml:space="preserve">•  Shalini Shyam Shetty v. Rajendra Shankar Patil, (2010) 8 SCC 329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https://firstprecedent.org/concepts/supervisory-jurisdiction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