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CN-0269 · Family</w:t>
      </w:r>
    </w:p>
    <w:p>
      <w:pPr>
        <w:pStyle w:val="Title"/>
      </w:pPr>
      <w:r>
        <w:t xml:space="preserve">Succession to a Hindu Woman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separate scheme for a woman’s property, which looks to where the property came from, and the criticism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15, 16</w:t>
      </w:r>
    </w:p>
    <w:p>
      <w:pPr>
        <w:pStyle w:val="Bullet"/>
      </w:pPr>
      <w:r>
        <w:t xml:space="preserve">•  Omprakash v. Radhacharan, (2009) 15 SCC 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https://firstprecedent.org/concepts/succession-to-a-hindu-woman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