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CN-0773 · Jurisprudence</w:t>
      </w:r>
    </w:p>
    <w:p>
      <w:pPr>
        <w:pStyle w:val="Title"/>
      </w:pPr>
      <w:r>
        <w:t xml:space="preserve">Substantive and Procedural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law that creates rights and duties and the law that governs how they are enforced, and why the line matters for retrospectivity.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Hitendra Vishnu Thakur v. State of Maharashtra, (1994) 4 SCC 602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https://firstprecedent.org/concepts/substantive-and-procedural-law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