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CN-0042 · Labour</w:t>
      </w:r>
    </w:p>
    <w:p>
      <w:pPr>
        <w:pStyle w:val="Title"/>
      </w:pPr>
      <w:r>
        <w:t xml:space="preserve">Strike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statutory right hedged with conditions, and the Court’s refusal to recognise a fundamental right to strike.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2(q), 22–24</w:t>
      </w:r>
    </w:p>
    <w:p>
      <w:pPr>
        <w:pStyle w:val="Bullet"/>
      </w:pPr>
      <w:r>
        <w:t xml:space="preserve">•  T.K. Rangarajan v. Govt. of T.N., (2003) 6 SCC 581</w:t>
      </w:r>
    </w:p>
    <w:p>
      <w:pPr>
        <w:pStyle w:val="Bullet"/>
      </w:pPr>
      <w:r>
        <w:t xml:space="preserve">•  All India Bank Employees’ Assn. v. National Industrial Tribunal, AIR 1962 SC 171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https://firstprecedent.org/concepts/strike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