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CN-0480 · Criminal</w:t>
      </w:r>
    </w:p>
    <w:p>
      <w:pPr>
        <w:pStyle w:val="Title"/>
      </w:pPr>
      <w:r>
        <w:t xml:space="preserve">Stolen Property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Property obtained by theft, extortion, robbery or breach of trust, and the offence of dishonestly receiving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410, 411 (now Bharatiya Nyaya Sanhita, 2023, § 317)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https://firstprecedent.org/concepts/stolen-property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