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CN-0468 · Administrative</w:t>
      </w:r>
    </w:p>
    <w:p>
      <w:pPr>
        <w:pStyle w:val="Title"/>
      </w:pPr>
      <w:r>
        <w:t xml:space="preserve">Statutory Corporation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created by statute, the force of its regulations, and its employees’ right to enforce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Sukhdev Singh v. Bhagatram Sardar Singh Raghuvanshi, (1975) 1 SCC 421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https://firstprecedent.org/concepts/statutory-corporation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