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CN-0728 · Arbitration</w:t>
      </w:r>
    </w:p>
    <w:p>
      <w:pPr>
        <w:pStyle w:val="Title"/>
      </w:pPr>
      <w:r>
        <w:t xml:space="preserve">Statutory Arbitration for Small Enterprises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council that conciliates and arbitrates delayed-payment claims of small suppliers, overriding the contract’s own clause.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Micro, Small and Medium Enterprises Development Act, 2006, § 18</w:t>
      </w:r>
    </w:p>
    <w:p>
      <w:pPr>
        <w:pStyle w:val="Bullet"/>
      </w:pPr>
      <w:r>
        <w:t xml:space="preserve">•  Gujarat State Civil Supplies Corpn. Ltd. v. Mahakali Foods (P) Ltd., (2023) 6 SCC 401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https://firstprecedent.org/concepts/statutory-arbitration-for-small-enterprises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