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CN-0510 · Criminal</w:t>
      </w:r>
    </w:p>
    <w:p>
      <w:pPr>
        <w:pStyle w:val="Title"/>
      </w:pPr>
      <w:r>
        <w:t xml:space="preserve">Statements to the Police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Statements recorded during investigation, the bar on their use at trial, and the single exception for contradicting the witness.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161, 162 (now Bharatiya Nagarik Suraksha Sanhita, 2023, §§ 180, 181)</w:t>
      </w:r>
    </w:p>
    <w:p>
      <w:pPr>
        <w:pStyle w:val="Bullet"/>
      </w:pPr>
      <w:r>
        <w:t xml:space="preserve">•  Tahsildar Singh v. State of U.P., AIR 1959 SC 1012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https://firstprecedent.org/concepts/statements-to-the-police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