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CN-0002 · Constitutional</w:t>
      </w:r>
    </w:p>
    <w:p>
      <w:pPr>
        <w:pStyle w:val="Title"/>
      </w:pPr>
      <w:r>
        <w:t xml:space="preserve">State under Article 12</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answers to Part III. The move from "sovereign authority" to instrumentality and agency, and the bodies still left outside.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Ajay Hasia v. Khalid Mujib Sehravardi, (1981) 1 SCC 722</w:t>
      </w:r>
    </w:p>
    <w:p>
      <w:pPr>
        <w:pStyle w:val="Bullet"/>
      </w:pPr>
      <w:r>
        <w:t xml:space="preserve">•  Pradeep Kumar Biswas v. Indian Institute of Chemical Biology, (2002) 5 SCC 111</w:t>
      </w:r>
    </w:p>
    <w:p>
      <w:pPr>
        <w:pStyle w:val="Bullet"/>
      </w:pPr>
      <w:r>
        <w:t xml:space="preserve">•  Zee Telefilms Ltd. v. Union of India, (2005) 4 SCC 649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https://firstprecedent.org/concepts/state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