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CN-0579 · Property</w:t>
      </w:r>
    </w:p>
    <w:p>
      <w:pPr>
        <w:pStyle w:val="Title"/>
      </w:pPr>
      <w:r>
        <w:t xml:space="preserve">Stamp Duty on Instruments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charged on documents, and the bar on using an unstamped instrument in evidence until the duty and penalty are paid.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Stamp Act, 1899, §§ 2(14), 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https://firstprecedent.org/concepts/stamp-duty-on-instruments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