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CN-0463 · Constitutional</w:t>
      </w:r>
    </w:p>
    <w:p>
      <w:pPr>
        <w:pStyle w:val="Title"/>
      </w:pPr>
      <w:r>
        <w:t xml:space="preserve">Special Provision for Women and Children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clause that allows the State to favour women and children, and whether it supports reservation in employment.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15(3)</w:t>
      </w:r>
    </w:p>
    <w:p>
      <w:pPr>
        <w:pStyle w:val="Bullet"/>
      </w:pPr>
      <w:r>
        <w:t xml:space="preserve">•  Yusuf Abdul Aziz v. State of Bombay, AIR 1954 SC 321</w:t>
      </w:r>
    </w:p>
    <w:p>
      <w:pPr>
        <w:pStyle w:val="Bullet"/>
      </w:pPr>
      <w:r>
        <w:t xml:space="preserve">•  Government of A.P. v. P.B. Vijayakumar, (1995) 4 SCC 520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https://firstprecedent.org/concepts/special-provision-for-women-and-children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