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CN-0096 · Constitutional</w:t>
      </w:r>
    </w:p>
    <w:p>
      <w:pPr>
        <w:pStyle w:val="Title"/>
      </w:pPr>
      <w:r>
        <w:t xml:space="preserve">Special Leave to Appeal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Supreme Court’s discretion to hear an appeal from any court or tribunal, and the considerations that guide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136</w:t>
      </w:r>
    </w:p>
    <w:p>
      <w:pPr>
        <w:pStyle w:val="Bullet"/>
      </w:pPr>
      <w:r>
        <w:t xml:space="preserve">•  Pritam Singh v. State, AIR 1950 SC 169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https://firstprecedent.org/concepts/special-leave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