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CN-0729 · International (Public)</w:t>
      </w:r>
    </w:p>
    <w:p>
      <w:pPr>
        <w:pStyle w:val="Title"/>
      </w:pPr>
      <w:r>
        <w:t xml:space="preserve">Sources of International Law</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list of sources the World Court applies: treaties, custom, general principles, and judicial decisions and writings as subsidiary means.</w:t>
      </w:r>
    </w:p>
    <w:p>
      <w:pPr>
        <w:pStyle w:val="Guidance"/>
      </w:pPr>
      <w:r>
        <w:t xml:space="preserve">Authorities to start from. These are places to begin, listed by the editors. Read each one in the original and check the citation before you rely on it.</w:t>
      </w:r>
    </w:p>
    <w:p>
      <w:pPr>
        <w:pStyle w:val="Bullet"/>
      </w:pPr>
      <w:r>
        <w:t xml:space="preserve">•  Statute of the International Court of Justice, art. 38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https://firstprecedent.org/concepts/sources-of-international-law</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