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CN-0586 · Property</w:t>
      </w:r>
    </w:p>
    <w:p>
      <w:pPr>
        <w:pStyle w:val="Title"/>
      </w:pPr>
      <w:r>
        <w:t xml:space="preserve">Solatium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additional sum paid over market value because the acquisition is compulsory.</w:t>
      </w:r>
    </w:p>
    <w:p>
      <w:pPr>
        <w:pStyle w:val="Guidance"/>
      </w:pPr>
      <w:r>
        <w:t xml:space="preserve">Authorities to start from. These are places to begin, listed by the editors. Read each one in the original and check the citation before you rely on it.</w:t>
      </w:r>
    </w:p>
    <w:p>
      <w:pPr>
        <w:pStyle w:val="Bullet"/>
      </w:pPr>
      <w:r>
        <w:t xml:space="preserve">•  Right to Fair Compensation and Transparency in Land Acquisition, Rehabilitation and Resettlement Act, 2013, § 30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https://firstprecedent.org/concepts/solatium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