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CN-0286 · Corporate</w:t>
      </w:r>
    </w:p>
    <w:p>
      <w:pPr>
        <w:pStyle w:val="Title"/>
      </w:pPr>
      <w:r>
        <w:t xml:space="preserve">Shareholders’ Agreement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private contract between shareholders, and whether its restrictions bind the company when the articles are silent.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V.B. Rangaraj v. V.B. Gopalakrishnan, (1992) 1 SCC 160</w:t>
      </w:r>
    </w:p>
    <w:p>
      <w:pPr>
        <w:pStyle w:val="Bullet"/>
      </w:pPr>
      <w:r>
        <w:t xml:space="preserve">•  Vodafone International Holdings BV v. Union of India, (2012) 6 SCC 613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https://firstprecedent.org/concepts/shareholders-agreement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