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CN-0038 · Family</w:t>
      </w:r>
    </w:p>
    <w:p>
      <w:pPr>
        <w:pStyle w:val="Title"/>
      </w:pPr>
      <w:r>
        <w:t xml:space="preserve">Shared Household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home a woman may not be evicted from under the domestic violence law, whoever owns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Women from Domestic Violence Act, 2005, §§ 2(s), 17, 19</w:t>
      </w:r>
    </w:p>
    <w:p>
      <w:pPr>
        <w:pStyle w:val="Bullet"/>
      </w:pPr>
      <w:r>
        <w:t xml:space="preserve">•  Satish Chander Ahuja v. Sneha Ahuja, (2021) 1 SCC 414</w:t>
      </w:r>
    </w:p>
    <w:p>
      <w:pPr>
        <w:pStyle w:val="Bullet"/>
      </w:pPr>
      <w:r>
        <w:t xml:space="preserve">•  S.R. Batra v. Taruna Batra, (2007) 3 SCC 169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https://firstprecedent.org/concepts/shared-household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