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CN-0494 · Criminal</w:t>
      </w:r>
    </w:p>
    <w:p>
      <w:pPr>
        <w:pStyle w:val="Title"/>
      </w:pPr>
      <w:r>
        <w:t xml:space="preserve">Sexual Assault on a Child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offences against children under the 2012 Act, and why sexual intent, not skin-to-skin contact, is what matters.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Children from Sexual Offences Act, 2012, §§ 3, 7</w:t>
      </w:r>
    </w:p>
    <w:p>
      <w:pPr>
        <w:pStyle w:val="Bullet"/>
      </w:pPr>
      <w:r>
        <w:t xml:space="preserve">•  Attorney General for India v. Satish, (2022) 5 SCC 545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https://firstprecedent.org/concepts/sexual-assault-on-a-child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