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CN-0352 · Labour</w:t>
      </w:r>
    </w:p>
    <w:p>
      <w:pPr>
        <w:pStyle w:val="Title"/>
      </w:pPr>
      <w:r>
        <w:t xml:space="preserve">Settlement and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between employer and workmen and a decision of a labour court or tribunal, and on whom each is binding.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2(b), 2(p),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https://firstprecedent.org/concepts/settlement-and-award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