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CN-0518 · Criminal</w:t>
      </w:r>
    </w:p>
    <w:p>
      <w:pPr>
        <w:pStyle w:val="Title"/>
      </w:pPr>
      <w:r>
        <w:t xml:space="preserve">Set-Off of Detention against Sentence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time spent in custody before conviction is deducted from the sentence of imprisonment.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428 (now Bharatiya Nagarik Suraksha Sanhita, 2023, § 468)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https://firstprecedent.org/concepts/set-off-of-detention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