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CN-0647 · Tax</w:t>
      </w:r>
    </w:p>
    <w:p>
      <w:pPr>
        <w:pStyle w:val="Title"/>
      </w:pPr>
      <w:r>
        <w:t xml:space="preserve">Set-Off and Carry Forward of Losses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loss under one source or head may be set against another, and for how long it may be carried forward.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70–80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https://firstprecedent.org/concepts/set-off-and-carry-forward-of-losses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