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CN-0025 · Corporate</w:t>
      </w:r>
    </w:p>
    <w:p>
      <w:pPr>
        <w:pStyle w:val="Title"/>
      </w:pPr>
      <w:r>
        <w:t xml:space="preserve">Separate Legal Personality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company as a person distinct from its members: what follows from it, and why Indian courts guard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Salomon v. A. Salomon &amp; Co. Ltd., [1897] AC 22</w:t>
      </w:r>
    </w:p>
    <w:p>
      <w:pPr>
        <w:pStyle w:val="Bullet"/>
      </w:pPr>
      <w:r>
        <w:t xml:space="preserve">•  Tata Engineering &amp; Locomotive Co. Ltd. v. State of Bihar, AIR 1965 SC 40</w:t>
      </w:r>
    </w:p>
    <w:p>
      <w:pPr>
        <w:pStyle w:val="Bullet"/>
      </w:pPr>
      <w:r>
        <w:t xml:space="preserve">•  Bacha F. Guzdar v. CIT, AIR 1955 SC 74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https://firstprecedent.org/concepts/separate-legal-personality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