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CN-0032 · Arbitration</w:t>
      </w:r>
    </w:p>
    <w:p>
      <w:pPr>
        <w:pStyle w:val="Title"/>
      </w:pPr>
      <w:r>
        <w:t xml:space="preserve">Seat and Venue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juridical seat of an arbitration against the place where hearings happen: why the seat fixes the supervising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Bharat Aluminium Co. v. Kaiser Aluminium Technical Services Inc., (2012) 9 SCC 552</w:t>
      </w:r>
    </w:p>
    <w:p>
      <w:pPr>
        <w:pStyle w:val="Bullet"/>
      </w:pPr>
      <w:r>
        <w:t xml:space="preserve">•  BGS SGS Soma JV v. NHPC Ltd., (2020) 4 SCC 234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https://firstprecedent.org/concepts/seat-and-venue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