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CN-0509 · Criminal</w:t>
      </w:r>
    </w:p>
    <w:p>
      <w:pPr>
        <w:pStyle w:val="Title"/>
      </w:pPr>
      <w:r>
        <w:t xml:space="preserve">Search and Seizure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Search with and without a warrant, the witnesses required, and the recording of reasons by the officer.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93, 100, 165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https://firstprecedent.org/concepts/search-and-seizure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