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CN-0330 · Tax</w:t>
      </w:r>
    </w:p>
    <w:p>
      <w:pPr>
        <w:pStyle w:val="Title"/>
      </w:pPr>
      <w:r>
        <w:t xml:space="preserve">Search and Seizure in Tax</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conditions on which tax officers may search premises and seize assets, and the use of what they find.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132</w:t>
      </w:r>
    </w:p>
    <w:p>
      <w:pPr>
        <w:pStyle w:val="Bullet"/>
      </w:pPr>
      <w:r>
        <w:t xml:space="preserve">•  Pooran Mal v. Director of Inspection (Investigation), (1974) 1 SCC 345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https://firstprecedent.org/concepts/search-and-seizure-in-tax</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