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CN-0757 · Human Rights</w:t>
      </w:r>
    </w:p>
    <w:p>
      <w:pPr>
        <w:pStyle w:val="Title"/>
      </w:pPr>
      <w:r>
        <w:t xml:space="preserve">Rights of Sex Workers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recognition that sex workers have the right to live with dignity, and the directions on rehabilitation and police conduct.</w:t>
      </w:r>
    </w:p>
    <w:p>
      <w:pPr>
        <w:pStyle w:val="Guidance"/>
      </w:pPr>
      <w:r>
        <w:t xml:space="preserve">Authorities to start from. These are places to begin, listed by the editors. Read each one in the original and check the citation before you rely on it.</w:t>
      </w:r>
    </w:p>
    <w:p>
      <w:pPr>
        <w:pStyle w:val="Bullet"/>
      </w:pPr>
      <w:r>
        <w:t xml:space="preserve">•  Budhadev Karmaskar v. State of W.B., (2011) 11 SCC 538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https://firstprecedent.org/concepts/rights-of-sex-workers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