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CN-0752 · Human Rights</w:t>
      </w:r>
    </w:p>
    <w:p>
      <w:pPr>
        <w:pStyle w:val="Title"/>
      </w:pPr>
      <w:r>
        <w:t xml:space="preserve">Right to Water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Access to clean water as part of the right to life, and the duty it places on the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Subhash Kumar v. State of Bihar, (1991) 1 SCC 598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https://firstprecedent.org/concepts/right-to-water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