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CN-0114 · Constitutional</w:t>
      </w:r>
    </w:p>
    <w:p>
      <w:pPr>
        <w:pStyle w:val="Title"/>
      </w:pPr>
      <w:r>
        <w:t xml:space="preserve">Right to Vote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the right to vote is a constitutional right or only a statutory one, and what turns on the answer.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326</w:t>
      </w:r>
    </w:p>
    <w:p>
      <w:pPr>
        <w:pStyle w:val="Bullet"/>
      </w:pPr>
      <w:r>
        <w:t xml:space="preserve">•  Kuldip Nayar v. Union of India, (2006) 7 SCC 1</w:t>
      </w:r>
    </w:p>
    <w:p>
      <w:pPr>
        <w:pStyle w:val="Bullet"/>
      </w:pPr>
      <w:r>
        <w:t xml:space="preserve">•  Anoop Baranwal v. Union of India, (2023) 6 SCC 161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https://firstprecedent.org/concepts/right-to-vote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