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CN-0413 · Human Rights</w:t>
      </w:r>
    </w:p>
    <w:p>
      <w:pPr>
        <w:pStyle w:val="Title"/>
      </w:pPr>
      <w:r>
        <w:t xml:space="preserve">Right to Health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State’s duty to provide emergency medical care and to preserve life, read into the right to 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Paschim Banga Khet Mazdoor Samity v. State of W.B., (1996) 4 SCC 37</w:t>
      </w:r>
    </w:p>
    <w:p>
      <w:pPr>
        <w:pStyle w:val="Bullet"/>
      </w:pPr>
      <w:r>
        <w:t xml:space="preserve">•  Parmanand Katara v. Union of India, (1989) 4 SCC 286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https://firstprecedent.org/concepts/right-to-health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