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CN-0159 · Criminal</w:t>
      </w:r>
    </w:p>
    <w:p>
      <w:pPr>
        <w:pStyle w:val="Title"/>
      </w:pPr>
      <w:r>
        <w:t xml:space="preserve">Reverse Burden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Statutes that require the accused to disprove an element of the offence, and how courts square them with the presumption of innocence.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Narcotic Drugs and Psychotropic Substances Act, 1985, §§ 35, 54</w:t>
      </w:r>
    </w:p>
    <w:p>
      <w:pPr>
        <w:pStyle w:val="Bullet"/>
      </w:pPr>
      <w:r>
        <w:t xml:space="preserve">•  Noor Aga v. State of Punjab, (2008) 16 SCC 417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https://firstprecedent.org/concepts/reverse-burden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