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CN-0041 · Labour</w:t>
      </w:r>
    </w:p>
    <w:p>
      <w:pPr>
        <w:pStyle w:val="Title"/>
      </w:pPr>
      <w:r>
        <w:t xml:space="preserve">Retrenchment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Termination "for any reason whatsoever": the wide reading, the statutory exclusions, and the conditions precedent.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2(oo), 25F</w:t>
      </w:r>
    </w:p>
    <w:p>
      <w:pPr>
        <w:pStyle w:val="Bullet"/>
      </w:pPr>
      <w:r>
        <w:t xml:space="preserve">•  State Bank of India v. N. Sundara Money, (1976) 1 SCC 822</w:t>
      </w:r>
    </w:p>
    <w:p>
      <w:pPr>
        <w:pStyle w:val="Bullet"/>
      </w:pPr>
      <w:r>
        <w:t xml:space="preserve">•  Punjab Land Development &amp; Reclamation Corpn. Ltd. v. Presiding Officer, (1990) 3 SCC 682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https://firstprecedent.org/concepts/retrenchment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