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CN-0408 · International (Public)</w:t>
      </w:r>
    </w:p>
    <w:p>
      <w:pPr>
        <w:pStyle w:val="Title"/>
      </w:pPr>
      <w:r>
        <w:t xml:space="preserve">Responsibility to Protect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idea that sovereignty carries a duty to protect populations from mass atrocity, and what the United Nations agreed in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G.A. Res. 60/1, ¶¶ 138–139, 2005 World Summit Outcome (Sept. 16, 2005)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https://firstprecedent.org/concepts/responsibility-to-protect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