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CN-0323 · Tax</w:t>
      </w:r>
    </w:p>
    <w:p>
      <w:pPr>
        <w:pStyle w:val="Title"/>
      </w:pPr>
      <w:r>
        <w:t xml:space="preserve">Residential Status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an individual’s residence is decided by days of stay, the category of “not ordinarily resident”, and what each status brings to tax.</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5, 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https://firstprecedent.org/concepts/residential-status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