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CN-0415 · Human Rights</w:t>
      </w:r>
    </w:p>
    <w:p>
      <w:pPr>
        <w:pStyle w:val="Title"/>
      </w:pPr>
      <w:r>
        <w:t xml:space="preserve">Reproductive Autonomy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woman’s right to decide whether to bear a child, the statutory limits on abortion, and the extension to unmarried women.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Medical Termination of Pregnancy Act, 1971, § 3</w:t>
      </w:r>
    </w:p>
    <w:p>
      <w:pPr>
        <w:pStyle w:val="Bullet"/>
      </w:pPr>
      <w:r>
        <w:t xml:space="preserve">•  Suchita Srivastava v. Chandigarh Administration, (2009) 9 SCC 1</w:t>
      </w:r>
    </w:p>
    <w:p>
      <w:pPr>
        <w:pStyle w:val="Bullet"/>
      </w:pPr>
      <w:r>
        <w:t xml:space="preserve">•  X v. Principal Secretary, Health &amp; Family Welfare Dept., (2023) 9 SCC 433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https://firstprecedent.org/concepts/reproductive-autonomy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