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CN-0506 · Criminal</w:t>
      </w:r>
    </w:p>
    <w:p>
      <w:pPr>
        <w:pStyle w:val="Title"/>
      </w:pPr>
      <w:r>
        <w:t xml:space="preserve">Remand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Detention authorised by a magistrate during investigation, the limit on police custody, and how the days are counted.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167 (now Bharatiya Nagarik Suraksha Sanhita, 2023, § 187)</w:t>
      </w:r>
    </w:p>
    <w:p>
      <w:pPr>
        <w:pStyle w:val="Bullet"/>
      </w:pPr>
      <w:r>
        <w:t xml:space="preserve">•  CBI v. Anupam J. Kulkarni, (1992) 3 SCC 141</w:t>
      </w:r>
    </w:p>
    <w:p>
      <w:pPr>
        <w:pStyle w:val="Bullet"/>
      </w:pPr>
      <w:r>
        <w:t xml:space="preserve">•  V. Senthil Balaji v. State, (2024) 3 SCC 51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https://firstprecedent.org/concepts/remand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